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2B16F">
      <w:pPr>
        <w:pStyle w:val="22"/>
        <w:tabs>
          <w:tab w:val="right" w:pos="9639"/>
        </w:tabs>
        <w:spacing w:after="0"/>
        <w:rPr>
          <w:rFonts w:hint="default" w:eastAsia="宋体"/>
          <w:b/>
          <w:i/>
          <w:sz w:val="28"/>
          <w:lang w:val="en-US" w:eastAsia="zh-CN"/>
        </w:rPr>
      </w:pPr>
      <w:r>
        <w:rPr>
          <w:b/>
          <w:sz w:val="24"/>
        </w:rPr>
        <w:t>3GPP TSG-SA5 Meeting #162</w:t>
      </w:r>
      <w:r>
        <w:rPr>
          <w:b/>
          <w:i/>
          <w:sz w:val="28"/>
        </w:rPr>
        <w:tab/>
      </w:r>
      <w:r>
        <w:rPr>
          <w:b/>
          <w:i/>
          <w:sz w:val="28"/>
        </w:rPr>
        <w:t>S5-25</w:t>
      </w:r>
      <w:r>
        <w:rPr>
          <w:rFonts w:hint="eastAsia" w:eastAsia="宋体"/>
          <w:b/>
          <w:i/>
          <w:sz w:val="28"/>
          <w:lang w:val="en-US" w:eastAsia="zh-CN"/>
        </w:rPr>
        <w:t>3616</w:t>
      </w:r>
    </w:p>
    <w:p w14:paraId="665DB1A2">
      <w:pPr>
        <w:pStyle w:val="11"/>
        <w:rPr>
          <w:rFonts w:ascii="Arial" w:hAnsi="Arial"/>
          <w:b/>
          <w:sz w:val="24"/>
        </w:rPr>
      </w:pPr>
      <w:r>
        <w:rPr>
          <w:rFonts w:ascii="Arial" w:hAnsi="Arial"/>
          <w:b/>
          <w:sz w:val="24"/>
        </w:rPr>
        <w:t>Goteborg, Sweden, 25 - 29 August 2025</w:t>
      </w:r>
    </w:p>
    <w:p w14:paraId="55B26964">
      <w:pPr>
        <w:pStyle w:val="11"/>
        <w:pBdr>
          <w:bottom w:val="single" w:color="auto" w:sz="4" w:space="1"/>
        </w:pBdr>
        <w:tabs>
          <w:tab w:val="right" w:pos="9638"/>
        </w:tabs>
        <w:rPr>
          <w:rFonts w:ascii="Arial" w:hAnsi="Arial"/>
          <w:b/>
          <w:sz w:val="24"/>
        </w:rPr>
      </w:pPr>
    </w:p>
    <w:p w14:paraId="6B417959">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default" w:ascii="Arial" w:hAnsi="Arial" w:eastAsia="Batang"/>
          <w:b/>
          <w:sz w:val="24"/>
          <w:szCs w:val="24"/>
          <w:lang w:val="en-US" w:eastAsia="zh-CN"/>
        </w:rPr>
        <w:t>CSCN</w:t>
      </w:r>
    </w:p>
    <w:p w14:paraId="49D92DA3">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w:t>
      </w:r>
      <w:r>
        <w:t xml:space="preserve"> </w:t>
      </w:r>
      <w:r>
        <w:rPr>
          <w:rFonts w:ascii="Arial" w:hAnsi="Arial" w:eastAsia="Batang" w:cs="Arial"/>
          <w:b/>
          <w:sz w:val="24"/>
          <w:szCs w:val="24"/>
          <w:lang w:eastAsia="zh-CN"/>
        </w:rPr>
        <w:t xml:space="preserve">WID on </w:t>
      </w:r>
      <w:r>
        <w:rPr>
          <w:rFonts w:hint="eastAsia" w:ascii="Arial" w:hAnsi="Arial" w:eastAsia="Batang" w:cs="Arial"/>
          <w:b/>
          <w:sz w:val="24"/>
          <w:szCs w:val="24"/>
          <w:lang w:val="en-US" w:eastAsia="zh-CN"/>
        </w:rPr>
        <w:t>IMS call charging capability optimization</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default" w:ascii="Arial" w:hAnsi="Arial" w:eastAsia="Batang"/>
          <w:b/>
          <w:sz w:val="24"/>
          <w:szCs w:val="24"/>
          <w:lang w:val="en-US" w:eastAsia="zh-CN"/>
        </w:rPr>
        <w:t>7.</w:t>
      </w:r>
      <w:r>
        <w:rPr>
          <w:rFonts w:hint="eastAsia" w:ascii="Arial" w:hAnsi="Arial" w:eastAsia="Batang"/>
          <w:b/>
          <w:sz w:val="24"/>
          <w:szCs w:val="24"/>
          <w:lang w:val="en-US" w:eastAsia="zh-CN"/>
        </w:rPr>
        <w:t>2</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New WID on IMS call charging capability optimization</w:t>
      </w:r>
    </w:p>
    <w:p w14:paraId="74D3F553">
      <w:pPr>
        <w:pStyle w:val="24"/>
      </w:pPr>
    </w:p>
    <w:p w14:paraId="5893F2D5">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p>
    <w:p w14:paraId="23C18BAA">
      <w:pPr>
        <w:pStyle w:val="24"/>
      </w:pPr>
    </w:p>
    <w:p w14:paraId="1E7E1E35">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6C3216F1">
      <w:pPr>
        <w:pStyle w:val="24"/>
      </w:pPr>
    </w:p>
    <w:p w14:paraId="3584EBAF">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default" w:ascii="Arial" w:hAnsi="Arial" w:eastAsia="宋体" w:cs="Times New Roman"/>
          <w:color w:val="auto"/>
          <w:sz w:val="36"/>
          <w:szCs w:val="20"/>
          <w:lang w:val="en-US" w:eastAsia="zh-CN"/>
        </w:rPr>
        <w:t>19</w:t>
      </w:r>
    </w:p>
    <w:p w14:paraId="20D7A18D">
      <w:pPr>
        <w:pStyle w:val="24"/>
      </w:pP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27"/>
            </w:pPr>
            <w:r>
              <w:t>Affects:</w:t>
            </w:r>
          </w:p>
        </w:tc>
        <w:tc>
          <w:tcPr>
            <w:tcW w:w="1275" w:type="dxa"/>
            <w:tcBorders>
              <w:left w:val="nil"/>
              <w:bottom w:val="single" w:color="auto" w:sz="12" w:space="0"/>
            </w:tcBorders>
            <w:shd w:val="clear" w:color="auto" w:fill="E0E0E0"/>
          </w:tcPr>
          <w:p w14:paraId="17341A5A">
            <w:pPr>
              <w:pStyle w:val="27"/>
            </w:pPr>
            <w:r>
              <w:t>UICC apps</w:t>
            </w:r>
          </w:p>
        </w:tc>
        <w:tc>
          <w:tcPr>
            <w:tcW w:w="1037" w:type="dxa"/>
            <w:tcBorders>
              <w:bottom w:val="single" w:color="auto" w:sz="12" w:space="0"/>
            </w:tcBorders>
            <w:shd w:val="clear" w:color="auto" w:fill="E0E0E0"/>
          </w:tcPr>
          <w:p w14:paraId="44E3AEE9">
            <w:pPr>
              <w:pStyle w:val="27"/>
            </w:pPr>
            <w:r>
              <w:t>ME</w:t>
            </w:r>
          </w:p>
        </w:tc>
        <w:tc>
          <w:tcPr>
            <w:tcW w:w="850" w:type="dxa"/>
            <w:tcBorders>
              <w:bottom w:val="single" w:color="auto" w:sz="12" w:space="0"/>
            </w:tcBorders>
            <w:shd w:val="clear" w:color="auto" w:fill="E0E0E0"/>
          </w:tcPr>
          <w:p w14:paraId="6DB9EDAB">
            <w:pPr>
              <w:pStyle w:val="27"/>
            </w:pPr>
            <w:r>
              <w:t>AN</w:t>
            </w:r>
          </w:p>
        </w:tc>
        <w:tc>
          <w:tcPr>
            <w:tcW w:w="851" w:type="dxa"/>
            <w:tcBorders>
              <w:bottom w:val="single" w:color="auto" w:sz="12" w:space="0"/>
            </w:tcBorders>
            <w:shd w:val="clear" w:color="auto" w:fill="E0E0E0"/>
          </w:tcPr>
          <w:p w14:paraId="10DFAED6">
            <w:pPr>
              <w:pStyle w:val="27"/>
            </w:pPr>
            <w:r>
              <w:t>CN</w:t>
            </w:r>
          </w:p>
        </w:tc>
        <w:tc>
          <w:tcPr>
            <w:tcW w:w="1752" w:type="dxa"/>
            <w:tcBorders>
              <w:bottom w:val="single" w:color="auto" w:sz="12" w:space="0"/>
            </w:tcBorders>
            <w:shd w:val="clear" w:color="auto" w:fill="E0E0E0"/>
          </w:tcPr>
          <w:p w14:paraId="70430901">
            <w:pPr>
              <w:pStyle w:val="27"/>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27"/>
            </w:pPr>
            <w:r>
              <w:t>Yes</w:t>
            </w:r>
          </w:p>
        </w:tc>
        <w:tc>
          <w:tcPr>
            <w:tcW w:w="1275" w:type="dxa"/>
            <w:tcBorders>
              <w:top w:val="nil"/>
              <w:left w:val="nil"/>
            </w:tcBorders>
          </w:tcPr>
          <w:p w14:paraId="69C748BE">
            <w:pPr>
              <w:pStyle w:val="28"/>
            </w:pPr>
          </w:p>
        </w:tc>
        <w:tc>
          <w:tcPr>
            <w:tcW w:w="1037" w:type="dxa"/>
            <w:tcBorders>
              <w:top w:val="nil"/>
            </w:tcBorders>
          </w:tcPr>
          <w:p w14:paraId="1D3E8F18">
            <w:pPr>
              <w:pStyle w:val="28"/>
            </w:pPr>
          </w:p>
        </w:tc>
        <w:tc>
          <w:tcPr>
            <w:tcW w:w="850" w:type="dxa"/>
            <w:tcBorders>
              <w:top w:val="nil"/>
            </w:tcBorders>
          </w:tcPr>
          <w:p w14:paraId="04045F0B">
            <w:pPr>
              <w:pStyle w:val="28"/>
            </w:pPr>
          </w:p>
        </w:tc>
        <w:tc>
          <w:tcPr>
            <w:tcW w:w="851" w:type="dxa"/>
            <w:tcBorders>
              <w:top w:val="nil"/>
            </w:tcBorders>
          </w:tcPr>
          <w:p w14:paraId="36BEDBE0">
            <w:pPr>
              <w:pStyle w:val="28"/>
            </w:pPr>
          </w:p>
        </w:tc>
        <w:tc>
          <w:tcPr>
            <w:tcW w:w="1752" w:type="dxa"/>
            <w:tcBorders>
              <w:top w:val="nil"/>
            </w:tcBorders>
          </w:tcPr>
          <w:p w14:paraId="5305E0AA">
            <w:pPr>
              <w:pStyle w:val="28"/>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27"/>
            </w:pPr>
            <w:r>
              <w:t>No</w:t>
            </w:r>
          </w:p>
        </w:tc>
        <w:tc>
          <w:tcPr>
            <w:tcW w:w="1275" w:type="dxa"/>
            <w:tcBorders>
              <w:left w:val="nil"/>
            </w:tcBorders>
          </w:tcPr>
          <w:p w14:paraId="0B744189">
            <w:pPr>
              <w:pStyle w:val="28"/>
            </w:pPr>
          </w:p>
        </w:tc>
        <w:tc>
          <w:tcPr>
            <w:tcW w:w="1037" w:type="dxa"/>
          </w:tcPr>
          <w:p w14:paraId="0602D5C7">
            <w:pPr>
              <w:pStyle w:val="28"/>
            </w:pPr>
          </w:p>
        </w:tc>
        <w:tc>
          <w:tcPr>
            <w:tcW w:w="850" w:type="dxa"/>
          </w:tcPr>
          <w:p w14:paraId="35CFDED4">
            <w:pPr>
              <w:pStyle w:val="28"/>
            </w:pPr>
          </w:p>
        </w:tc>
        <w:tc>
          <w:tcPr>
            <w:tcW w:w="851" w:type="dxa"/>
          </w:tcPr>
          <w:p w14:paraId="02A432F3">
            <w:pPr>
              <w:pStyle w:val="28"/>
            </w:pPr>
          </w:p>
        </w:tc>
        <w:tc>
          <w:tcPr>
            <w:tcW w:w="1752" w:type="dxa"/>
          </w:tcPr>
          <w:p w14:paraId="70435623">
            <w:pPr>
              <w:pStyle w:val="28"/>
            </w:pP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27"/>
            </w:pPr>
            <w:r>
              <w:t>Don't know</w:t>
            </w:r>
          </w:p>
        </w:tc>
        <w:tc>
          <w:tcPr>
            <w:tcW w:w="1275" w:type="dxa"/>
            <w:tcBorders>
              <w:left w:val="nil"/>
            </w:tcBorders>
          </w:tcPr>
          <w:p w14:paraId="4450E978">
            <w:pPr>
              <w:pStyle w:val="28"/>
            </w:pPr>
          </w:p>
        </w:tc>
        <w:tc>
          <w:tcPr>
            <w:tcW w:w="1037" w:type="dxa"/>
          </w:tcPr>
          <w:p w14:paraId="6F19776F">
            <w:pPr>
              <w:pStyle w:val="28"/>
            </w:pPr>
          </w:p>
        </w:tc>
        <w:tc>
          <w:tcPr>
            <w:tcW w:w="850" w:type="dxa"/>
          </w:tcPr>
          <w:p w14:paraId="3F07CB2B">
            <w:pPr>
              <w:pStyle w:val="28"/>
            </w:pPr>
          </w:p>
        </w:tc>
        <w:tc>
          <w:tcPr>
            <w:tcW w:w="851" w:type="dxa"/>
          </w:tcPr>
          <w:p w14:paraId="290A158D">
            <w:pPr>
              <w:pStyle w:val="28"/>
            </w:pPr>
          </w:p>
        </w:tc>
        <w:tc>
          <w:tcPr>
            <w:tcW w:w="1752" w:type="dxa"/>
          </w:tcPr>
          <w:p w14:paraId="02E98F67">
            <w:pPr>
              <w:pStyle w:val="28"/>
            </w:pPr>
          </w:p>
        </w:tc>
      </w:tr>
    </w:tbl>
    <w:p w14:paraId="0AEBFDEC"/>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28"/>
            </w:pPr>
          </w:p>
        </w:tc>
        <w:tc>
          <w:tcPr>
            <w:tcW w:w="2917" w:type="dxa"/>
            <w:shd w:val="clear" w:color="auto" w:fill="E0E0E0"/>
          </w:tcPr>
          <w:p w14:paraId="0ED22864">
            <w:pPr>
              <w:pStyle w:val="27"/>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28"/>
            </w:pPr>
          </w:p>
        </w:tc>
        <w:tc>
          <w:tcPr>
            <w:tcW w:w="2917" w:type="dxa"/>
            <w:shd w:val="clear" w:color="auto" w:fill="E0E0E0"/>
          </w:tcPr>
          <w:p w14:paraId="58AA67F6">
            <w:pPr>
              <w:pStyle w:val="27"/>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28"/>
              <w:rPr>
                <w:rFonts w:hint="default"/>
                <w:lang w:val="en-US"/>
              </w:rPr>
            </w:pPr>
            <w:r>
              <w:rPr>
                <w:rFonts w:hint="default"/>
                <w:lang w:val="en-US"/>
              </w:rPr>
              <w:t>X</w:t>
            </w:r>
          </w:p>
        </w:tc>
        <w:tc>
          <w:tcPr>
            <w:tcW w:w="2917" w:type="dxa"/>
            <w:shd w:val="clear" w:color="auto" w:fill="E0E0E0"/>
          </w:tcPr>
          <w:p w14:paraId="5E19322A">
            <w:pPr>
              <w:pStyle w:val="27"/>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28"/>
              <w:rPr>
                <w:rFonts w:hint="default"/>
                <w:lang w:val="en-US"/>
              </w:rPr>
            </w:pPr>
            <w:r>
              <w:rPr>
                <w:rFonts w:hint="default"/>
                <w:lang w:val="en-US"/>
              </w:rPr>
              <w:t>X</w:t>
            </w:r>
          </w:p>
        </w:tc>
        <w:tc>
          <w:tcPr>
            <w:tcW w:w="2917" w:type="dxa"/>
            <w:shd w:val="clear" w:color="auto" w:fill="E0E0E0"/>
          </w:tcPr>
          <w:p w14:paraId="4D2C82D4">
            <w:pPr>
              <w:pStyle w:val="27"/>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28"/>
            </w:pPr>
          </w:p>
        </w:tc>
        <w:tc>
          <w:tcPr>
            <w:tcW w:w="2917" w:type="dxa"/>
            <w:shd w:val="clear" w:color="auto" w:fill="E0E0E0"/>
          </w:tcPr>
          <w:p w14:paraId="4B700A55">
            <w:pPr>
              <w:pStyle w:val="27"/>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223A3492">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27"/>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27"/>
              <w:ind w:right="-99"/>
              <w:jc w:val="left"/>
            </w:pPr>
            <w:r>
              <w:t>Acronym</w:t>
            </w:r>
          </w:p>
        </w:tc>
        <w:tc>
          <w:tcPr>
            <w:tcW w:w="1101" w:type="dxa"/>
            <w:shd w:val="clear" w:color="auto" w:fill="E0E0E0"/>
          </w:tcPr>
          <w:p w14:paraId="0E8ED1B9">
            <w:pPr>
              <w:pStyle w:val="27"/>
              <w:ind w:right="-99"/>
              <w:jc w:val="left"/>
            </w:pPr>
            <w:r>
              <w:t>Working Group</w:t>
            </w:r>
          </w:p>
        </w:tc>
        <w:tc>
          <w:tcPr>
            <w:tcW w:w="1101" w:type="dxa"/>
            <w:shd w:val="clear" w:color="auto" w:fill="E0E0E0"/>
          </w:tcPr>
          <w:p w14:paraId="18104C59">
            <w:pPr>
              <w:pStyle w:val="27"/>
              <w:ind w:right="-99"/>
              <w:jc w:val="left"/>
            </w:pPr>
            <w:r>
              <w:t>Unique ID</w:t>
            </w:r>
          </w:p>
        </w:tc>
        <w:tc>
          <w:tcPr>
            <w:tcW w:w="6010" w:type="dxa"/>
            <w:shd w:val="clear" w:color="auto" w:fill="E0E0E0"/>
          </w:tcPr>
          <w:p w14:paraId="444DB744">
            <w:pPr>
              <w:pStyle w:val="27"/>
              <w:ind w:right="-99"/>
              <w:jc w:val="left"/>
            </w:pPr>
            <w:r>
              <w:t>Title (as in 3GPP Work Plan)</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8BCEFEC">
            <w:pPr>
              <w:pStyle w:val="26"/>
              <w:rPr>
                <w:rFonts w:hint="default"/>
                <w:lang w:val="en-US"/>
              </w:rPr>
            </w:pPr>
            <w:r>
              <w:rPr>
                <w:rFonts w:hint="default"/>
                <w:lang w:val="en-US"/>
              </w:rPr>
              <w:t>N/A</w:t>
            </w:r>
          </w:p>
        </w:tc>
        <w:tc>
          <w:tcPr>
            <w:tcW w:w="1101" w:type="dxa"/>
          </w:tcPr>
          <w:p w14:paraId="334D300A">
            <w:pPr>
              <w:pStyle w:val="26"/>
            </w:pPr>
          </w:p>
        </w:tc>
        <w:tc>
          <w:tcPr>
            <w:tcW w:w="1101" w:type="dxa"/>
          </w:tcPr>
          <w:p w14:paraId="3338BA6A">
            <w:pPr>
              <w:pStyle w:val="26"/>
            </w:pPr>
          </w:p>
        </w:tc>
        <w:tc>
          <w:tcPr>
            <w:tcW w:w="6010" w:type="dxa"/>
          </w:tcPr>
          <w:p w14:paraId="225432A0">
            <w:pPr>
              <w:pStyle w:val="26"/>
            </w:pPr>
          </w:p>
        </w:tc>
      </w:tr>
    </w:tbl>
    <w:p w14:paraId="577FBA35"/>
    <w:p w14:paraId="5A17605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44A32604">
            <w:pPr>
              <w:pStyle w:val="27"/>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27"/>
            </w:pPr>
            <w:r>
              <w:t>Unique ID</w:t>
            </w:r>
          </w:p>
        </w:tc>
        <w:tc>
          <w:tcPr>
            <w:tcW w:w="3326" w:type="dxa"/>
            <w:shd w:val="clear" w:color="auto" w:fill="E0E0E0"/>
          </w:tcPr>
          <w:p w14:paraId="74D80133">
            <w:pPr>
              <w:pStyle w:val="27"/>
            </w:pPr>
            <w:r>
              <w:t>Title</w:t>
            </w:r>
          </w:p>
        </w:tc>
        <w:tc>
          <w:tcPr>
            <w:tcW w:w="5099" w:type="dxa"/>
            <w:shd w:val="clear" w:color="auto" w:fill="E0E0E0"/>
          </w:tcPr>
          <w:p w14:paraId="1DB2E63C">
            <w:pPr>
              <w:pStyle w:val="27"/>
            </w:pPr>
            <w:r>
              <w:t>Nature of relationship</w:t>
            </w:r>
          </w:p>
        </w:tc>
      </w:tr>
      <w:tr w14:paraId="0B66C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A3B29D4">
            <w:pPr>
              <w:pStyle w:val="26"/>
              <w:rPr>
                <w:rFonts w:hint="default"/>
                <w:lang w:val="en-US"/>
              </w:rPr>
            </w:pPr>
            <w:r>
              <w:rPr>
                <w:rFonts w:hint="default"/>
                <w:lang w:val="en-US"/>
              </w:rPr>
              <w:t>N/A</w:t>
            </w:r>
          </w:p>
        </w:tc>
        <w:tc>
          <w:tcPr>
            <w:tcW w:w="3326" w:type="dxa"/>
          </w:tcPr>
          <w:p w14:paraId="3AC061FD">
            <w:pPr>
              <w:pStyle w:val="26"/>
            </w:pPr>
          </w:p>
        </w:tc>
        <w:tc>
          <w:tcPr>
            <w:tcW w:w="5099" w:type="dxa"/>
          </w:tcPr>
          <w:p w14:paraId="017BF4B1">
            <w:pPr>
              <w:pStyle w:val="24"/>
            </w:pPr>
          </w:p>
        </w:tc>
      </w:tr>
    </w:tbl>
    <w:p w14:paraId="01B64B3B">
      <w:pPr>
        <w:pStyle w:val="29"/>
      </w:pPr>
    </w:p>
    <w:p w14:paraId="4970DA35">
      <w:pPr>
        <w:rPr>
          <w:rFonts w:hint="default"/>
          <w:b/>
          <w:bCs/>
          <w:lang w:val="en-US"/>
        </w:rPr>
      </w:pPr>
      <w:r>
        <w:rPr>
          <w:b/>
          <w:bCs/>
        </w:rPr>
        <w:t>Dependency on non-3GPP (draft) specification:</w:t>
      </w:r>
      <w:r>
        <w:rPr>
          <w:rFonts w:hint="default"/>
          <w:b w:val="0"/>
          <w:bCs w:val="0"/>
          <w:lang w:val="en-US"/>
        </w:rPr>
        <w:t xml:space="preserve"> None</w:t>
      </w:r>
    </w:p>
    <w:p w14:paraId="271E280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5316057A">
      <w:pPr>
        <w:rPr>
          <w:rFonts w:hint="eastAsia"/>
          <w:lang w:val="en-US" w:eastAsia="zh-CN"/>
        </w:rPr>
      </w:pPr>
      <w:r>
        <w:rPr>
          <w:rFonts w:hint="eastAsia"/>
          <w:lang w:val="en-US" w:eastAsia="zh-CN"/>
        </w:rPr>
        <w:t>For offline charging, in TS 32.299 section 6.1.3.4, it is described that t</w:t>
      </w:r>
      <w:r>
        <w:rPr>
          <w:color w:val="000000"/>
        </w:rPr>
        <w:t xml:space="preserve">he CDF closes a </w:t>
      </w:r>
      <w:r>
        <w:t>CDR</w:t>
      </w:r>
      <w:r>
        <w:rPr>
          <w:color w:val="000000"/>
        </w:rPr>
        <w:t xml:space="preserve"> when it detects that expected Diameter ACRs for a particular session have not been received for a period of time. </w:t>
      </w:r>
      <w:r>
        <w:rPr>
          <w:rFonts w:hint="eastAsia" w:eastAsia="宋体"/>
          <w:color w:val="000000"/>
          <w:lang w:val="en-US" w:eastAsia="zh-CN"/>
        </w:rPr>
        <w:t>When the expected ACR is ACR[Stop] but it is lost, CDF will</w:t>
      </w:r>
      <w:r>
        <w:rPr>
          <w:rFonts w:hint="eastAsia"/>
          <w:color w:val="000000"/>
          <w:lang w:val="en-US" w:eastAsia="zh-CN"/>
        </w:rPr>
        <w:t xml:space="preserve"> close this CDR as an incomplet</w:t>
      </w:r>
      <w:r>
        <w:rPr>
          <w:rFonts w:hint="default"/>
          <w:color w:val="000000"/>
          <w:lang w:val="en-US" w:eastAsia="zh-CN"/>
        </w:rPr>
        <w:t>e</w:t>
      </w:r>
      <w:r>
        <w:rPr>
          <w:rFonts w:hint="eastAsia"/>
          <w:color w:val="000000"/>
          <w:lang w:val="en-US" w:eastAsia="zh-CN"/>
        </w:rPr>
        <w:t xml:space="preserve"> CDR.  Per TS 32.298, the </w:t>
      </w:r>
      <w:r>
        <w:rPr>
          <w:i/>
          <w:iCs/>
        </w:rPr>
        <w:t>serviceDeliveryEndTimeStamp</w:t>
      </w:r>
      <w:r>
        <w:rPr>
          <w:rFonts w:hint="eastAsia"/>
          <w:lang w:val="en-US" w:eastAsia="zh-CN"/>
        </w:rPr>
        <w:t xml:space="preserve"> field in CDR is retrieved from </w:t>
      </w:r>
      <w:r>
        <w:rPr>
          <w:rFonts w:hint="eastAsia" w:ascii="Times New Roman" w:hAnsi="Times New Roman" w:cs="Times New Roman"/>
          <w:i/>
          <w:lang w:val="en-US" w:eastAsia="zh-CN"/>
        </w:rPr>
        <w:t>S</w:t>
      </w:r>
      <w:r>
        <w:rPr>
          <w:rFonts w:ascii="Times New Roman" w:hAnsi="Times New Roman" w:cs="Times New Roman"/>
          <w:i/>
        </w:rPr>
        <w:t>IP-</w:t>
      </w:r>
      <w:r>
        <w:rPr>
          <w:i/>
        </w:rPr>
        <w:t>Request-Timestamp</w:t>
      </w:r>
      <w:r>
        <w:t xml:space="preserve"> AVP of ACR[Stop] message indicating a session termination</w:t>
      </w:r>
      <w:r>
        <w:rPr>
          <w:rFonts w:hint="eastAsia"/>
          <w:color w:val="000000"/>
          <w:lang w:val="en-US" w:eastAsia="zh-CN"/>
        </w:rPr>
        <w:t xml:space="preserve">. So in this case,  </w:t>
      </w:r>
      <w:r>
        <w:rPr>
          <w:i/>
          <w:iCs/>
        </w:rPr>
        <w:t>serviceDeliveryEndTimeStamp</w:t>
      </w:r>
      <w:r>
        <w:rPr>
          <w:rFonts w:hint="eastAsia"/>
          <w:i/>
          <w:iCs/>
          <w:lang w:val="en-US" w:eastAsia="zh-CN"/>
        </w:rPr>
        <w:t xml:space="preserve"> </w:t>
      </w:r>
      <w:r>
        <w:rPr>
          <w:rFonts w:hint="eastAsia"/>
          <w:lang w:val="en-US" w:eastAsia="zh-CN"/>
        </w:rPr>
        <w:t>field in CDR will be not present and no filed can provide a timestamp indicating the session termination.</w:t>
      </w:r>
    </w:p>
    <w:p w14:paraId="637F2E21">
      <w:pPr>
        <w:rPr>
          <w:rFonts w:hint="default"/>
          <w:color w:val="000000"/>
          <w:lang w:val="en-US" w:eastAsia="zh-CN"/>
        </w:rPr>
      </w:pPr>
      <w:r>
        <w:rPr>
          <w:rFonts w:hint="default"/>
          <w:lang w:val="en-US" w:eastAsia="zh-CN"/>
        </w:rPr>
        <w:t xml:space="preserve">For IMS charging, the valid charging information must include both the timestamp indicating the session start and the timestamp indicating the session termination, so it’s necessary to enhance the charging system to provide the session termination timestamp in the ACR[Stop] lost scenario. </w:t>
      </w:r>
      <w:r>
        <w:rPr>
          <w:rFonts w:hint="eastAsia"/>
          <w:lang w:val="en-US" w:eastAsia="zh-CN"/>
        </w:rPr>
        <w:t>Actually,</w:t>
      </w:r>
      <w:r>
        <w:rPr>
          <w:rFonts w:hint="eastAsia" w:ascii="Times New Roman" w:hAnsi="Times New Roman" w:cs="Times New Roman"/>
          <w:lang w:val="en-US" w:eastAsia="zh-CN"/>
        </w:rPr>
        <w:t xml:space="preserve"> </w:t>
      </w:r>
      <w:r>
        <w:rPr>
          <w:rFonts w:hint="eastAsia" w:cs="Times New Roman"/>
          <w:lang w:val="en-US" w:eastAsia="zh-CN"/>
        </w:rPr>
        <w:t>p</w:t>
      </w:r>
      <w:r>
        <w:rPr>
          <w:rFonts w:hint="eastAsia" w:ascii="Times New Roman" w:hAnsi="Times New Roman" w:cs="Times New Roman"/>
          <w:lang w:val="en-US" w:eastAsia="zh-CN"/>
        </w:rPr>
        <w:t xml:space="preserve">er TS 32.260, during a session, CTF will send ACR[Interim] to CDF </w:t>
      </w:r>
      <w:r>
        <w:rPr>
          <w:rFonts w:ascii="Times New Roman" w:hAnsi="Times New Roman" w:cs="Times New Roman"/>
          <w:lang w:eastAsia="zh-CN"/>
        </w:rPr>
        <w:t>due to a session modification procedure</w:t>
      </w:r>
      <w:r>
        <w:rPr>
          <w:rFonts w:hint="eastAsia" w:ascii="Times New Roman" w:hAnsi="Times New Roman" w:cs="Times New Roman"/>
          <w:lang w:eastAsia="zh-CN"/>
        </w:rPr>
        <w:t xml:space="preserve"> </w:t>
      </w:r>
      <w:r>
        <w:rPr>
          <w:rFonts w:ascii="Times New Roman" w:hAnsi="Times New Roman" w:cs="Times New Roman"/>
          <w:lang w:eastAsia="zh-CN"/>
        </w:rPr>
        <w:t xml:space="preserve">(i.e. change in media) </w:t>
      </w:r>
      <w:r>
        <w:rPr>
          <w:rFonts w:hint="eastAsia" w:ascii="Times New Roman" w:hAnsi="Times New Roman" w:cs="Times New Roman"/>
          <w:lang w:eastAsia="zh-CN"/>
        </w:rPr>
        <w:t>o</w:t>
      </w:r>
      <w:r>
        <w:rPr>
          <w:rFonts w:ascii="Times New Roman" w:hAnsi="Times New Roman" w:cs="Times New Roman"/>
          <w:lang w:eastAsia="zh-CN"/>
        </w:rPr>
        <w:t>r</w:t>
      </w:r>
      <w:r>
        <w:rPr>
          <w:rFonts w:hint="eastAsia" w:ascii="Times New Roman" w:hAnsi="Times New Roman" w:cs="Times New Roman"/>
          <w:lang w:eastAsia="zh-CN"/>
        </w:rPr>
        <w:t xml:space="preserve"> </w:t>
      </w:r>
      <w:r>
        <w:rPr>
          <w:rFonts w:ascii="Times New Roman" w:hAnsi="Times New Roman" w:cs="Times New Roman"/>
          <w:lang w:eastAsia="zh-CN"/>
        </w:rPr>
        <w:t>expiration of the Charging</w:t>
      </w:r>
      <w:r>
        <w:rPr>
          <w:rFonts w:hint="eastAsia" w:ascii="Times New Roman" w:hAnsi="Times New Roman" w:cs="Times New Roman"/>
          <w:lang w:eastAsia="zh-CN"/>
        </w:rPr>
        <w:t xml:space="preserve"> Data Interim Interval</w:t>
      </w:r>
      <w:r>
        <w:rPr>
          <w:rFonts w:hint="eastAsia" w:ascii="Times New Roman" w:hAnsi="Times New Roman" w:cs="Times New Roman"/>
          <w:lang w:val="en-US" w:eastAsia="zh-CN"/>
        </w:rPr>
        <w:t xml:space="preserve">. So CDF can retrieve the timestamp </w:t>
      </w:r>
      <w:r>
        <w:rPr>
          <w:rFonts w:hint="eastAsia"/>
          <w:color w:val="000000"/>
          <w:lang w:val="en-US" w:eastAsia="zh-CN"/>
        </w:rPr>
        <w:t xml:space="preserve">carried in the ACR[Interim] </w:t>
      </w:r>
      <w:r>
        <w:t>upon reception of a</w:t>
      </w:r>
      <w:r>
        <w:rPr>
          <w:rFonts w:hint="eastAsia"/>
          <w:lang w:val="en-US" w:eastAsia="zh-CN"/>
        </w:rPr>
        <w:t>n ACR</w:t>
      </w:r>
      <w:r>
        <w:t>[Interim] messag</w:t>
      </w:r>
      <w:r>
        <w:rPr>
          <w:rFonts w:hint="eastAsia"/>
          <w:lang w:val="en-US" w:eastAsia="zh-CN"/>
        </w:rPr>
        <w:t>e</w:t>
      </w:r>
      <w:r>
        <w:rPr>
          <w:rFonts w:hint="eastAsia"/>
          <w:color w:val="000000"/>
          <w:lang w:val="en-US" w:eastAsia="zh-CN"/>
        </w:rPr>
        <w:t>. It is possible to add a new field in CDR based on this information to solve this problem.</w:t>
      </w:r>
    </w:p>
    <w:p w14:paraId="260CEE45">
      <w:pPr>
        <w:rPr>
          <w:rFonts w:hint="default"/>
          <w:color w:val="000000"/>
          <w:lang w:val="en-US" w:eastAsia="zh-CN"/>
        </w:rPr>
      </w:pPr>
      <w:r>
        <w:rPr>
          <w:rFonts w:hint="default" w:cs="Times New Roman"/>
          <w:lang w:val="en-US" w:eastAsia="zh-CN"/>
        </w:rPr>
        <w:t xml:space="preserve">The similar scenario may also happen in online charging. That is, CCR[Terminate] is lost for OCS. So it needs to consider how to get the valid session termination timestamp in this scenario, too. </w:t>
      </w:r>
      <w:r>
        <w:rPr>
          <w:rFonts w:hint="eastAsia"/>
          <w:color w:val="000000"/>
          <w:lang w:val="en-US" w:eastAsia="zh-CN"/>
        </w:rPr>
        <w:t>Per TS 32.299 section 6.3.5, the last CCR[Update] shall report the used service units till that time, so it is possible for OCS to get the valid session termination time based on this information.</w:t>
      </w:r>
    </w:p>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04019A52">
      <w:pPr>
        <w:pStyle w:val="18"/>
        <w:keepNext w:val="0"/>
        <w:keepLines w:val="0"/>
        <w:pageBreakBefore w:val="0"/>
        <w:widowControl/>
        <w:kinsoku/>
        <w:wordWrap/>
        <w:overflowPunct/>
        <w:topLinePunct w:val="0"/>
        <w:autoSpaceDE/>
        <w:autoSpaceDN/>
        <w:bidi w:val="0"/>
        <w:adjustRightInd w:val="0"/>
        <w:snapToGrid w:val="0"/>
        <w:spacing w:line="240" w:lineRule="auto"/>
        <w:ind w:left="0" w:firstLine="0"/>
        <w:textAlignment w:val="auto"/>
        <w:rPr>
          <w:rFonts w:hint="eastAsia" w:ascii="Times New Roman" w:hAnsi="Times New Roman" w:eastAsia="Times New Roman" w:cs="Times New Roman"/>
          <w:color w:val="000000"/>
          <w:lang w:val="en-US" w:eastAsia="zh-CN" w:bidi="ar-SA"/>
        </w:rPr>
      </w:pPr>
      <w:r>
        <w:rPr>
          <w:rFonts w:hint="eastAsia" w:ascii="Times New Roman" w:hAnsi="Times New Roman" w:eastAsia="Times New Roman" w:cs="Times New Roman"/>
          <w:color w:val="000000"/>
          <w:lang w:val="en-US" w:eastAsia="en-GB" w:bidi="ar-SA"/>
        </w:rPr>
        <w:t>The objective of the work item is to</w:t>
      </w:r>
      <w:r>
        <w:rPr>
          <w:rFonts w:hint="eastAsia" w:ascii="Times New Roman" w:hAnsi="Times New Roman" w:eastAsia="Times New Roman" w:cs="Times New Roman"/>
          <w:color w:val="000000"/>
          <w:lang w:val="en-US" w:eastAsia="zh-CN" w:bidi="ar-SA"/>
        </w:rPr>
        <w:t xml:space="preserve"> provide valid session termination timestamp in </w:t>
      </w:r>
      <w:r>
        <w:rPr>
          <w:rFonts w:hint="default" w:ascii="Times New Roman" w:hAnsi="Times New Roman" w:cs="Times New Roman"/>
          <w:color w:val="000000"/>
          <w:lang w:val="en-US" w:eastAsia="zh-CN" w:bidi="ar-SA"/>
        </w:rPr>
        <w:t xml:space="preserve">charging system </w:t>
      </w:r>
      <w:r>
        <w:rPr>
          <w:rFonts w:hint="eastAsia" w:ascii="Times New Roman" w:hAnsi="Times New Roman" w:eastAsia="Times New Roman" w:cs="Times New Roman"/>
          <w:color w:val="000000"/>
          <w:lang w:val="en-US" w:eastAsia="zh-CN" w:bidi="ar-SA"/>
        </w:rPr>
        <w:t>in case of</w:t>
      </w:r>
      <w:r>
        <w:rPr>
          <w:rFonts w:hint="default" w:ascii="Times New Roman" w:hAnsi="Times New Roman" w:cs="Times New Roman"/>
          <w:color w:val="000000"/>
          <w:lang w:val="en-US" w:eastAsia="zh-CN" w:bidi="ar-SA"/>
        </w:rPr>
        <w:t xml:space="preserve"> </w:t>
      </w:r>
      <w:r>
        <w:rPr>
          <w:rFonts w:hint="eastAsia" w:ascii="Times New Roman" w:hAnsi="Times New Roman" w:eastAsia="Times New Roman" w:cs="Times New Roman"/>
          <w:color w:val="000000"/>
          <w:lang w:val="en-US" w:eastAsia="zh-CN" w:bidi="ar-SA"/>
        </w:rPr>
        <w:t>ACR[Stop]</w:t>
      </w:r>
      <w:r>
        <w:rPr>
          <w:rFonts w:hint="default" w:ascii="Times New Roman" w:hAnsi="Times New Roman" w:cs="Times New Roman"/>
          <w:color w:val="000000"/>
          <w:lang w:val="en-US" w:eastAsia="zh-CN" w:bidi="ar-SA"/>
        </w:rPr>
        <w:t xml:space="preserve"> or CCR[Terminate]</w:t>
      </w:r>
      <w:r>
        <w:rPr>
          <w:rFonts w:hint="eastAsia" w:ascii="Times New Roman" w:hAnsi="Times New Roman" w:eastAsia="Times New Roman" w:cs="Times New Roman"/>
          <w:color w:val="000000"/>
          <w:lang w:val="en-US" w:eastAsia="zh-CN" w:bidi="ar-SA"/>
        </w:rPr>
        <w:t xml:space="preserve"> is lost</w:t>
      </w:r>
      <w:r>
        <w:rPr>
          <w:rFonts w:hint="default" w:ascii="Times New Roman" w:hAnsi="Times New Roman" w:cs="Times New Roman"/>
          <w:color w:val="000000"/>
          <w:lang w:val="en-US" w:eastAsia="zh-CN" w:bidi="ar-SA"/>
        </w:rPr>
        <w:t>, with following tasks</w:t>
      </w:r>
      <w:r>
        <w:rPr>
          <w:rFonts w:hint="eastAsia" w:ascii="Times New Roman" w:hAnsi="Times New Roman" w:eastAsia="Times New Roman" w:cs="Times New Roman"/>
          <w:color w:val="000000"/>
          <w:lang w:val="en-US" w:eastAsia="zh-CN" w:bidi="ar-SA"/>
        </w:rPr>
        <w:t>.</w:t>
      </w:r>
    </w:p>
    <w:p w14:paraId="6AD53338">
      <w:pPr>
        <w:keepNext w:val="0"/>
        <w:keepLines w:val="0"/>
        <w:pageBreakBefore w:val="0"/>
        <w:widowControl/>
        <w:kinsoku/>
        <w:wordWrap/>
        <w:overflowPunct w:val="0"/>
        <w:topLinePunct w:val="0"/>
        <w:autoSpaceDE w:val="0"/>
        <w:autoSpaceDN w:val="0"/>
        <w:bidi w:val="0"/>
        <w:adjustRightInd w:val="0"/>
        <w:snapToGrid w:val="0"/>
        <w:ind w:left="851" w:hanging="284"/>
        <w:textAlignment w:val="baseline"/>
        <w:rPr>
          <w:rFonts w:eastAsia="宋体"/>
          <w:color w:val="000000"/>
          <w:lang w:val="en-US" w:eastAsia="zh-CN"/>
        </w:rPr>
      </w:pPr>
      <w:r>
        <w:rPr>
          <w:rFonts w:hint="default" w:ascii="Times New Roman" w:hAnsi="Times New Roman" w:cs="Times New Roman"/>
          <w:color w:val="000000"/>
          <w:lang w:val="en-US" w:eastAsia="zh-CN" w:bidi="ar-SA"/>
        </w:rPr>
        <w:t>-</w:t>
      </w:r>
      <w:r>
        <w:rPr>
          <w:rFonts w:hint="eastAsia" w:eastAsia="宋体"/>
          <w:b/>
          <w:bCs/>
          <w:lang w:eastAsia="zh-CN"/>
        </w:rPr>
        <w:t>WT-1:</w:t>
      </w:r>
      <w:r>
        <w:rPr>
          <w:rFonts w:hint="eastAsia" w:eastAsia="宋体"/>
          <w:lang w:eastAsia="zh-CN"/>
        </w:rPr>
        <w:t xml:space="preserve"> </w:t>
      </w:r>
      <w:r>
        <w:rPr>
          <w:rFonts w:hint="default" w:eastAsia="宋体"/>
          <w:lang w:val="en-US" w:eastAsia="zh-CN"/>
        </w:rPr>
        <w:t>Specify the session termination timestamp for ACR[Stop] lost scenario in offline charging</w:t>
      </w:r>
      <w:r>
        <w:rPr>
          <w:rFonts w:eastAsia="宋体"/>
          <w:lang w:eastAsia="zh-CN"/>
        </w:rPr>
        <w:t>;</w:t>
      </w:r>
    </w:p>
    <w:p w14:paraId="101AD49F">
      <w:pPr>
        <w:keepNext w:val="0"/>
        <w:keepLines w:val="0"/>
        <w:pageBreakBefore w:val="0"/>
        <w:widowControl/>
        <w:kinsoku/>
        <w:wordWrap/>
        <w:overflowPunct w:val="0"/>
        <w:topLinePunct w:val="0"/>
        <w:autoSpaceDE w:val="0"/>
        <w:autoSpaceDN w:val="0"/>
        <w:bidi w:val="0"/>
        <w:adjustRightInd w:val="0"/>
        <w:snapToGrid w:val="0"/>
        <w:ind w:left="851" w:hanging="284"/>
        <w:textAlignment w:val="baseline"/>
        <w:rPr>
          <w:rFonts w:hint="default"/>
          <w:color w:val="000000"/>
          <w:lang w:val="en-US"/>
        </w:rPr>
      </w:pPr>
      <w:r>
        <w:rPr>
          <w:rFonts w:hint="default" w:eastAsia="宋体"/>
          <w:b/>
          <w:bCs/>
          <w:lang w:val="en-US" w:eastAsia="zh-CN"/>
        </w:rPr>
        <w:t>-</w:t>
      </w:r>
      <w:r>
        <w:rPr>
          <w:rFonts w:hint="eastAsia" w:eastAsia="宋体"/>
          <w:b/>
          <w:bCs/>
          <w:lang w:eastAsia="zh-CN"/>
        </w:rPr>
        <w:t>WT-</w:t>
      </w:r>
      <w:r>
        <w:rPr>
          <w:rFonts w:hint="eastAsia" w:eastAsia="宋体"/>
          <w:b/>
          <w:bCs/>
          <w:lang w:val="en-US" w:eastAsia="zh-CN"/>
        </w:rPr>
        <w:t>2</w:t>
      </w:r>
      <w:r>
        <w:rPr>
          <w:rFonts w:hint="eastAsia" w:eastAsia="宋体"/>
          <w:b/>
          <w:bCs/>
          <w:lang w:eastAsia="zh-CN"/>
        </w:rPr>
        <w:t>:</w:t>
      </w:r>
      <w:r>
        <w:rPr>
          <w:rFonts w:hint="eastAsia" w:eastAsia="宋体"/>
          <w:lang w:eastAsia="zh-CN"/>
        </w:rPr>
        <w:t xml:space="preserve"> </w:t>
      </w:r>
      <w:r>
        <w:rPr>
          <w:rFonts w:hint="default" w:eastAsia="宋体"/>
          <w:lang w:val="en-US" w:eastAsia="zh-CN"/>
        </w:rPr>
        <w:t>Specify the session termination timestamp for CCR[Terminate] lost scenario in offline charging.</w:t>
      </w:r>
    </w:p>
    <w:p w14:paraId="3D725A38">
      <w:pPr>
        <w:pStyle w:val="3"/>
        <w:rPr>
          <w:lang w:val="en-US"/>
        </w:rPr>
      </w:pPr>
    </w:p>
    <w:p w14:paraId="35B8F74D">
      <w:pPr>
        <w:pStyle w:val="3"/>
        <w:rPr>
          <w:rStyle w:val="17"/>
          <w:i w:val="0"/>
          <w:iCs w:val="0"/>
          <w:lang w:val="en-US" w:eastAsia="zh-CN"/>
        </w:rPr>
      </w:pPr>
      <w:r>
        <w:rPr>
          <w:lang w:val="en-US"/>
        </w:rPr>
        <w:t>TU estimates and dependencies</w:t>
      </w:r>
      <w:r>
        <w:rPr>
          <w:rStyle w:val="17"/>
          <w:lang w:val="en-US" w:eastAsia="zh-CN"/>
        </w:rPr>
        <w:t xml:space="preserve"> </w:t>
      </w:r>
    </w:p>
    <w:p w14:paraId="2D94AA88">
      <w:pPr>
        <w:rPr>
          <w:lang w:val="en-US" w:eastAsia="zh-CN"/>
        </w:rPr>
      </w:pPr>
    </w:p>
    <w:tbl>
      <w:tblPr>
        <w:tblStyle w:val="14"/>
        <w:tblW w:w="963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454"/>
        <w:gridCol w:w="1505"/>
        <w:gridCol w:w="1800"/>
        <w:gridCol w:w="1799"/>
        <w:gridCol w:w="1550"/>
      </w:tblGrid>
      <w:tr w14:paraId="2C92C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525" w:type="dxa"/>
            <w:shd w:val="clear" w:color="auto" w:fill="auto"/>
          </w:tcPr>
          <w:p w14:paraId="02091194">
            <w:pPr>
              <w:rPr>
                <w:b/>
                <w:bCs/>
              </w:rPr>
            </w:pPr>
            <w:r>
              <w:rPr>
                <w:b/>
                <w:bCs/>
              </w:rPr>
              <w:t>Work Task ID</w:t>
            </w:r>
          </w:p>
        </w:tc>
        <w:tc>
          <w:tcPr>
            <w:tcW w:w="1454" w:type="dxa"/>
            <w:shd w:val="clear" w:color="auto" w:fill="auto"/>
          </w:tcPr>
          <w:p w14:paraId="2AC54038">
            <w:pPr>
              <w:rPr>
                <w:b/>
                <w:bCs/>
              </w:rPr>
            </w:pPr>
            <w:r>
              <w:rPr>
                <w:b/>
                <w:bCs/>
              </w:rPr>
              <w:t>TU Estimate</w:t>
            </w:r>
          </w:p>
          <w:p w14:paraId="585DE0DE">
            <w:pPr>
              <w:rPr>
                <w:b/>
                <w:bCs/>
              </w:rPr>
            </w:pPr>
            <w:r>
              <w:rPr>
                <w:b/>
                <w:bCs/>
              </w:rPr>
              <w:t>(Study)</w:t>
            </w:r>
          </w:p>
        </w:tc>
        <w:tc>
          <w:tcPr>
            <w:tcW w:w="1505" w:type="dxa"/>
          </w:tcPr>
          <w:p w14:paraId="2776CDA8">
            <w:pPr>
              <w:rPr>
                <w:b/>
                <w:bCs/>
              </w:rPr>
            </w:pPr>
            <w:r>
              <w:rPr>
                <w:b/>
                <w:bCs/>
              </w:rPr>
              <w:t>TU Estimate</w:t>
            </w:r>
          </w:p>
          <w:p w14:paraId="65881510">
            <w:pPr>
              <w:rPr>
                <w:b/>
                <w:bCs/>
              </w:rPr>
            </w:pPr>
            <w:r>
              <w:rPr>
                <w:b/>
                <w:bCs/>
              </w:rPr>
              <w:t>(Normative)</w:t>
            </w:r>
          </w:p>
        </w:tc>
        <w:tc>
          <w:tcPr>
            <w:tcW w:w="1800" w:type="dxa"/>
          </w:tcPr>
          <w:p w14:paraId="6350382B">
            <w:pPr>
              <w:rPr>
                <w:b/>
                <w:bCs/>
              </w:rPr>
            </w:pPr>
            <w:r>
              <w:rPr>
                <w:b/>
                <w:bCs/>
              </w:rPr>
              <w:t>RAN Dependency</w:t>
            </w:r>
          </w:p>
          <w:p w14:paraId="02AE17B6">
            <w:pPr>
              <w:rPr>
                <w:b/>
                <w:bCs/>
              </w:rPr>
            </w:pPr>
            <w:r>
              <w:rPr>
                <w:b/>
                <w:bCs/>
              </w:rPr>
              <w:t xml:space="preserve">(Yes/No/Maybe) </w:t>
            </w:r>
          </w:p>
        </w:tc>
        <w:tc>
          <w:tcPr>
            <w:tcW w:w="1799" w:type="dxa"/>
          </w:tcPr>
          <w:p w14:paraId="052A77A2">
            <w:pPr>
              <w:rPr>
                <w:b/>
                <w:bCs/>
              </w:rPr>
            </w:pPr>
            <w:r>
              <w:rPr>
                <w:b/>
                <w:bCs/>
              </w:rPr>
              <w:t>SA Dependency</w:t>
            </w:r>
          </w:p>
          <w:p w14:paraId="57E858EE">
            <w:pPr>
              <w:rPr>
                <w:b/>
                <w:bCs/>
              </w:rPr>
            </w:pPr>
            <w:r>
              <w:rPr>
                <w:b/>
                <w:bCs/>
              </w:rPr>
              <w:t>(Yes/No/Maybe)</w:t>
            </w:r>
          </w:p>
        </w:tc>
        <w:tc>
          <w:tcPr>
            <w:tcW w:w="1550" w:type="dxa"/>
          </w:tcPr>
          <w:p w14:paraId="4B29D9AA">
            <w:pPr>
              <w:rPr>
                <w:b/>
                <w:bCs/>
              </w:rPr>
            </w:pPr>
            <w:r>
              <w:rPr>
                <w:b/>
                <w:bCs/>
              </w:rPr>
              <w:t>Non-3GPP Dependency</w:t>
            </w:r>
          </w:p>
        </w:tc>
      </w:tr>
      <w:tr w14:paraId="16DE6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auto"/>
          </w:tcPr>
          <w:p w14:paraId="28008865">
            <w:pPr>
              <w:rPr>
                <w:rFonts w:hint="default"/>
                <w:lang w:val="en-US" w:eastAsia="zh-CN"/>
              </w:rPr>
            </w:pPr>
            <w:r>
              <w:rPr>
                <w:rFonts w:hint="eastAsia"/>
                <w:lang w:eastAsia="zh-CN"/>
              </w:rPr>
              <w:t>W</w:t>
            </w:r>
            <w:r>
              <w:rPr>
                <w:lang w:eastAsia="zh-CN"/>
              </w:rPr>
              <w:t>T</w:t>
            </w:r>
            <w:r>
              <w:rPr>
                <w:rFonts w:hint="default"/>
                <w:lang w:val="en-US" w:eastAsia="zh-CN"/>
              </w:rPr>
              <w:t>-1</w:t>
            </w:r>
          </w:p>
        </w:tc>
        <w:tc>
          <w:tcPr>
            <w:tcW w:w="1454" w:type="dxa"/>
            <w:shd w:val="clear" w:color="auto" w:fill="auto"/>
          </w:tcPr>
          <w:p w14:paraId="190EEC82">
            <w:pPr>
              <w:rPr>
                <w:lang w:eastAsia="zh-CN"/>
              </w:rPr>
            </w:pPr>
            <w:r>
              <w:rPr>
                <w:lang w:eastAsia="zh-CN"/>
              </w:rPr>
              <w:t>0</w:t>
            </w:r>
          </w:p>
        </w:tc>
        <w:tc>
          <w:tcPr>
            <w:tcW w:w="1505" w:type="dxa"/>
          </w:tcPr>
          <w:p w14:paraId="66CCBBE3">
            <w:pPr>
              <w:rPr>
                <w:rFonts w:hint="default"/>
                <w:lang w:val="en-US" w:eastAsia="zh-CN"/>
              </w:rPr>
            </w:pPr>
            <w:r>
              <w:rPr>
                <w:rFonts w:hint="default"/>
                <w:lang w:val="en-US" w:eastAsia="zh-CN"/>
              </w:rPr>
              <w:t>0.5</w:t>
            </w:r>
          </w:p>
        </w:tc>
        <w:tc>
          <w:tcPr>
            <w:tcW w:w="1800" w:type="dxa"/>
          </w:tcPr>
          <w:p w14:paraId="255E3AFD">
            <w:pPr>
              <w:rPr>
                <w:lang w:eastAsia="zh-CN"/>
              </w:rPr>
            </w:pPr>
            <w:r>
              <w:rPr>
                <w:lang w:eastAsia="zh-CN"/>
              </w:rPr>
              <w:t>No</w:t>
            </w:r>
          </w:p>
        </w:tc>
        <w:tc>
          <w:tcPr>
            <w:tcW w:w="1799" w:type="dxa"/>
          </w:tcPr>
          <w:p w14:paraId="052CDCAB">
            <w:r>
              <w:rPr>
                <w:rFonts w:hint="eastAsia"/>
              </w:rPr>
              <w:t>Yes</w:t>
            </w:r>
          </w:p>
        </w:tc>
        <w:tc>
          <w:tcPr>
            <w:tcW w:w="1550" w:type="dxa"/>
          </w:tcPr>
          <w:p w14:paraId="5ABE75FA">
            <w:pPr>
              <w:rPr>
                <w:lang w:eastAsia="zh-CN"/>
              </w:rPr>
            </w:pPr>
            <w:r>
              <w:rPr>
                <w:lang w:eastAsia="zh-CN"/>
              </w:rPr>
              <w:t>No</w:t>
            </w:r>
          </w:p>
        </w:tc>
      </w:tr>
      <w:tr w14:paraId="041CA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auto"/>
          </w:tcPr>
          <w:p w14:paraId="01C51792">
            <w:pPr>
              <w:rPr>
                <w:rFonts w:hint="default"/>
                <w:lang w:val="en-US" w:eastAsia="zh-CN"/>
              </w:rPr>
            </w:pPr>
            <w:r>
              <w:rPr>
                <w:rFonts w:hint="default"/>
                <w:lang w:val="en-US" w:eastAsia="zh-CN"/>
              </w:rPr>
              <w:t>WT-2</w:t>
            </w:r>
          </w:p>
        </w:tc>
        <w:tc>
          <w:tcPr>
            <w:tcW w:w="1454" w:type="dxa"/>
            <w:shd w:val="clear" w:color="auto" w:fill="auto"/>
            <w:vAlign w:val="top"/>
          </w:tcPr>
          <w:p w14:paraId="5EEF23BC">
            <w:pPr>
              <w:rPr>
                <w:lang w:eastAsia="zh-CN"/>
              </w:rPr>
            </w:pPr>
            <w:r>
              <w:rPr>
                <w:lang w:eastAsia="zh-CN"/>
              </w:rPr>
              <w:t>0</w:t>
            </w:r>
          </w:p>
        </w:tc>
        <w:tc>
          <w:tcPr>
            <w:tcW w:w="1505" w:type="dxa"/>
            <w:vAlign w:val="top"/>
          </w:tcPr>
          <w:p w14:paraId="67FD9E50">
            <w:pPr>
              <w:rPr>
                <w:lang w:eastAsia="zh-CN"/>
              </w:rPr>
            </w:pPr>
            <w:r>
              <w:rPr>
                <w:rFonts w:hint="default"/>
                <w:lang w:val="en-US" w:eastAsia="zh-CN"/>
              </w:rPr>
              <w:t>0.5</w:t>
            </w:r>
          </w:p>
        </w:tc>
        <w:tc>
          <w:tcPr>
            <w:tcW w:w="1800" w:type="dxa"/>
            <w:vAlign w:val="top"/>
          </w:tcPr>
          <w:p w14:paraId="03852C82">
            <w:pPr>
              <w:rPr>
                <w:lang w:eastAsia="zh-CN"/>
              </w:rPr>
            </w:pPr>
            <w:r>
              <w:rPr>
                <w:lang w:eastAsia="zh-CN"/>
              </w:rPr>
              <w:t>No</w:t>
            </w:r>
          </w:p>
        </w:tc>
        <w:tc>
          <w:tcPr>
            <w:tcW w:w="1799" w:type="dxa"/>
            <w:vAlign w:val="top"/>
          </w:tcPr>
          <w:p w14:paraId="2BDD1596">
            <w:pPr>
              <w:rPr>
                <w:rFonts w:hint="eastAsia"/>
              </w:rPr>
            </w:pPr>
            <w:r>
              <w:rPr>
                <w:rFonts w:hint="eastAsia"/>
              </w:rPr>
              <w:t>Yes</w:t>
            </w:r>
          </w:p>
        </w:tc>
        <w:tc>
          <w:tcPr>
            <w:tcW w:w="1550" w:type="dxa"/>
            <w:vAlign w:val="top"/>
          </w:tcPr>
          <w:p w14:paraId="47C7EADB">
            <w:pPr>
              <w:rPr>
                <w:lang w:eastAsia="zh-CN"/>
              </w:rPr>
            </w:pPr>
            <w:r>
              <w:rPr>
                <w:lang w:eastAsia="zh-CN"/>
              </w:rPr>
              <w:t>No</w:t>
            </w:r>
          </w:p>
        </w:tc>
      </w:tr>
    </w:tbl>
    <w:p w14:paraId="72062C6F"/>
    <w:p w14:paraId="1EE0D86F">
      <w:pPr>
        <w:rPr>
          <w:b/>
          <w:bCs/>
        </w:rPr>
      </w:pPr>
      <w:r>
        <w:rPr>
          <w:b/>
          <w:bCs/>
        </w:rPr>
        <w:t>Total TU estimates for the study phase: 0</w:t>
      </w:r>
    </w:p>
    <w:p w14:paraId="36C1EF05">
      <w:pPr>
        <w:rPr>
          <w:rFonts w:hint="eastAsia" w:eastAsia="宋体"/>
          <w:b/>
          <w:bCs/>
          <w:lang w:eastAsia="zh-CN"/>
        </w:rPr>
      </w:pPr>
      <w:r>
        <w:rPr>
          <w:b/>
          <w:bCs/>
        </w:rPr>
        <w:t xml:space="preserve">Total TU estimates for the normative phase: </w:t>
      </w:r>
      <w:r>
        <w:rPr>
          <w:rFonts w:hint="eastAsia"/>
          <w:b/>
          <w:bCs/>
          <w:lang w:val="en-US" w:eastAsia="zh-CN"/>
        </w:rPr>
        <w:t>1</w:t>
      </w:r>
    </w:p>
    <w:p w14:paraId="54D572E0">
      <w:r>
        <w:rPr>
          <w:b/>
          <w:bCs/>
        </w:rPr>
        <w:t>Total TU estimates:</w:t>
      </w:r>
      <w:r>
        <w:rPr>
          <w:rFonts w:hint="eastAsia"/>
          <w:b/>
          <w:bCs/>
          <w:lang w:val="en-US" w:eastAsia="zh-CN"/>
        </w:rPr>
        <w:t xml:space="preserve"> 1</w:t>
      </w:r>
    </w:p>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45BD6CAB"/>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27"/>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27"/>
            </w:pPr>
            <w:r>
              <w:t xml:space="preserve">Type </w:t>
            </w:r>
          </w:p>
        </w:tc>
        <w:tc>
          <w:tcPr>
            <w:tcW w:w="1134" w:type="dxa"/>
            <w:shd w:val="clear" w:color="auto" w:fill="D9D9D9"/>
            <w:tcMar>
              <w:left w:w="57" w:type="dxa"/>
              <w:right w:w="57" w:type="dxa"/>
            </w:tcMar>
          </w:tcPr>
          <w:p w14:paraId="20FC5D3B">
            <w:pPr>
              <w:pStyle w:val="27"/>
            </w:pPr>
            <w:r>
              <w:t>TS/TR number</w:t>
            </w:r>
          </w:p>
        </w:tc>
        <w:tc>
          <w:tcPr>
            <w:tcW w:w="2409" w:type="dxa"/>
            <w:shd w:val="clear" w:color="auto" w:fill="D9D9D9"/>
            <w:tcMar>
              <w:left w:w="57" w:type="dxa"/>
              <w:right w:w="57" w:type="dxa"/>
            </w:tcMar>
          </w:tcPr>
          <w:p w14:paraId="0C917615">
            <w:pPr>
              <w:pStyle w:val="27"/>
            </w:pPr>
            <w:r>
              <w:t>Title</w:t>
            </w:r>
          </w:p>
        </w:tc>
        <w:tc>
          <w:tcPr>
            <w:tcW w:w="993" w:type="dxa"/>
            <w:shd w:val="clear" w:color="auto" w:fill="D9D9D9"/>
            <w:tcMar>
              <w:left w:w="57" w:type="dxa"/>
              <w:right w:w="57" w:type="dxa"/>
            </w:tcMar>
          </w:tcPr>
          <w:p w14:paraId="436BA858">
            <w:pPr>
              <w:pStyle w:val="27"/>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27"/>
            </w:pPr>
            <w:r>
              <w:t>For approval at TSG#</w:t>
            </w:r>
          </w:p>
        </w:tc>
        <w:tc>
          <w:tcPr>
            <w:tcW w:w="2186" w:type="dxa"/>
            <w:shd w:val="clear" w:color="auto" w:fill="D9D9D9"/>
            <w:tcMar>
              <w:left w:w="57" w:type="dxa"/>
              <w:right w:w="57" w:type="dxa"/>
            </w:tcMar>
          </w:tcPr>
          <w:p w14:paraId="138BC39E">
            <w:pPr>
              <w:pStyle w:val="27"/>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194449B4">
            <w:pPr>
              <w:pStyle w:val="24"/>
              <w:spacing w:after="0"/>
            </w:pPr>
          </w:p>
        </w:tc>
        <w:tc>
          <w:tcPr>
            <w:tcW w:w="1134" w:type="dxa"/>
          </w:tcPr>
          <w:p w14:paraId="1581EDBA">
            <w:pPr>
              <w:pStyle w:val="24"/>
              <w:spacing w:after="0"/>
            </w:pPr>
          </w:p>
        </w:tc>
        <w:tc>
          <w:tcPr>
            <w:tcW w:w="2409" w:type="dxa"/>
          </w:tcPr>
          <w:p w14:paraId="3489ADFF">
            <w:pPr>
              <w:pStyle w:val="24"/>
              <w:spacing w:after="0"/>
            </w:pPr>
          </w:p>
        </w:tc>
        <w:tc>
          <w:tcPr>
            <w:tcW w:w="993" w:type="dxa"/>
          </w:tcPr>
          <w:p w14:paraId="060C3F75">
            <w:pPr>
              <w:pStyle w:val="24"/>
              <w:spacing w:after="0"/>
            </w:pPr>
          </w:p>
        </w:tc>
        <w:tc>
          <w:tcPr>
            <w:tcW w:w="1074" w:type="dxa"/>
          </w:tcPr>
          <w:p w14:paraId="3CC87817">
            <w:pPr>
              <w:pStyle w:val="24"/>
              <w:spacing w:after="0"/>
            </w:pPr>
          </w:p>
        </w:tc>
        <w:tc>
          <w:tcPr>
            <w:tcW w:w="2186" w:type="dxa"/>
          </w:tcPr>
          <w:p w14:paraId="71B3D7AE">
            <w:pPr>
              <w:pStyle w:val="24"/>
              <w:spacing w:after="0"/>
            </w:pPr>
          </w:p>
        </w:tc>
      </w:tr>
      <w:tr w14:paraId="329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6EA8E77">
            <w:pPr>
              <w:pStyle w:val="26"/>
            </w:pPr>
          </w:p>
        </w:tc>
        <w:tc>
          <w:tcPr>
            <w:tcW w:w="1134" w:type="dxa"/>
          </w:tcPr>
          <w:p w14:paraId="5F684E95">
            <w:pPr>
              <w:pStyle w:val="26"/>
            </w:pPr>
          </w:p>
        </w:tc>
        <w:tc>
          <w:tcPr>
            <w:tcW w:w="2409" w:type="dxa"/>
          </w:tcPr>
          <w:p w14:paraId="3F9BA4C9">
            <w:pPr>
              <w:pStyle w:val="26"/>
            </w:pPr>
          </w:p>
        </w:tc>
        <w:tc>
          <w:tcPr>
            <w:tcW w:w="993" w:type="dxa"/>
          </w:tcPr>
          <w:p w14:paraId="510D9A1F">
            <w:pPr>
              <w:pStyle w:val="26"/>
            </w:pPr>
          </w:p>
        </w:tc>
        <w:tc>
          <w:tcPr>
            <w:tcW w:w="1074" w:type="dxa"/>
          </w:tcPr>
          <w:p w14:paraId="11DE6EB5">
            <w:pPr>
              <w:pStyle w:val="26"/>
            </w:pPr>
          </w:p>
        </w:tc>
        <w:tc>
          <w:tcPr>
            <w:tcW w:w="2186" w:type="dxa"/>
          </w:tcPr>
          <w:p w14:paraId="1D49C842">
            <w:pPr>
              <w:pStyle w:val="26"/>
            </w:pPr>
          </w:p>
        </w:tc>
      </w:tr>
    </w:tbl>
    <w:p w14:paraId="7EC5BA9E">
      <w:pPr>
        <w:pStyle w:val="29"/>
      </w:pPr>
    </w:p>
    <w:p w14:paraId="3E5E0EB7"/>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27"/>
            </w:pPr>
            <w:r>
              <w:t>Impacted existing TS/TR {One line per specification. Create/delete lines as needed}</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2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2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27"/>
            </w:pPr>
            <w:r>
              <w:t>Remarks</w:t>
            </w:r>
          </w:p>
        </w:tc>
      </w:tr>
      <w:tr w14:paraId="4A4FE2F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68315498">
            <w:pPr>
              <w:pStyle w:val="26"/>
            </w:pPr>
            <w:r>
              <w:t>TS 32.</w:t>
            </w:r>
            <w:r>
              <w:rPr>
                <w:rFonts w:hint="eastAsia"/>
                <w:lang w:val="en-US" w:eastAsia="zh-CN"/>
              </w:rPr>
              <w:t>260</w:t>
            </w:r>
          </w:p>
        </w:tc>
        <w:tc>
          <w:tcPr>
            <w:tcW w:w="4344" w:type="dxa"/>
            <w:tcBorders>
              <w:top w:val="single" w:color="auto" w:sz="4" w:space="0"/>
              <w:left w:val="single" w:color="auto" w:sz="4" w:space="0"/>
              <w:bottom w:val="single" w:color="auto" w:sz="4" w:space="0"/>
              <w:right w:val="single" w:color="auto" w:sz="4" w:space="0"/>
            </w:tcBorders>
            <w:vAlign w:val="top"/>
          </w:tcPr>
          <w:p w14:paraId="292C4506">
            <w:pPr>
              <w:pStyle w:val="26"/>
            </w:pPr>
            <w:r>
              <w:rPr>
                <w:rFonts w:hint="eastAsia"/>
                <w:lang w:val="en-US" w:eastAsia="zh-CN"/>
              </w:rPr>
              <w:t>E</w:t>
            </w:r>
            <w:r>
              <w:rPr>
                <w:rFonts w:hint="eastAsia"/>
                <w:lang w:eastAsia="zh-CN"/>
              </w:rPr>
              <w:t>nhancement</w:t>
            </w:r>
            <w:r>
              <w:rPr>
                <w:rFonts w:hint="eastAsia"/>
                <w:lang w:val="en-US" w:eastAsia="zh-CN"/>
              </w:rPr>
              <w:t>s</w:t>
            </w:r>
            <w:r>
              <w:t xml:space="preserve"> </w:t>
            </w:r>
            <w:r>
              <w:rPr>
                <w:rFonts w:hint="eastAsia"/>
                <w:lang w:eastAsia="zh-CN"/>
              </w:rPr>
              <w:t>t</w:t>
            </w:r>
            <w:r>
              <w:rPr>
                <w:lang w:eastAsia="zh-CN"/>
              </w:rPr>
              <w:t xml:space="preserve">o </w:t>
            </w:r>
            <w:r>
              <w:rPr>
                <w:rFonts w:hint="eastAsia"/>
                <w:lang w:val="en-US" w:eastAsia="zh-CN"/>
              </w:rPr>
              <w:t>IMS CDR contents</w:t>
            </w:r>
          </w:p>
        </w:tc>
        <w:tc>
          <w:tcPr>
            <w:tcW w:w="1417" w:type="dxa"/>
            <w:tcBorders>
              <w:top w:val="single" w:color="auto" w:sz="4" w:space="0"/>
              <w:left w:val="single" w:color="auto" w:sz="4" w:space="0"/>
              <w:bottom w:val="single" w:color="auto" w:sz="4" w:space="0"/>
              <w:right w:val="single" w:color="auto" w:sz="4" w:space="0"/>
            </w:tcBorders>
            <w:vAlign w:val="top"/>
          </w:tcPr>
          <w:p w14:paraId="749C6D11">
            <w:pPr>
              <w:pStyle w:val="26"/>
              <w:rPr>
                <w:rFonts w:eastAsia="宋体"/>
                <w:lang w:val="en-US" w:eastAsia="zh-CN"/>
              </w:rPr>
            </w:pPr>
            <w:r>
              <w:t>TSG#10</w:t>
            </w:r>
            <w:r>
              <w:rPr>
                <w:rFonts w:eastAsia="宋体"/>
                <w:lang w:val="en-US" w:eastAsia="zh-CN"/>
              </w:rPr>
              <w:t>9</w:t>
            </w:r>
          </w:p>
          <w:p w14:paraId="6CF6E801">
            <w:pPr>
              <w:pStyle w:val="26"/>
            </w:pPr>
            <w:r>
              <w:t>(</w:t>
            </w:r>
            <w:r>
              <w:rPr>
                <w:rFonts w:eastAsia="宋体"/>
                <w:lang w:val="en-US" w:eastAsia="zh-CN"/>
              </w:rPr>
              <w:t>Sep</w:t>
            </w:r>
            <w:r>
              <w:rPr>
                <w:lang w:val="en-US"/>
              </w:rPr>
              <w:t>.</w:t>
            </w:r>
            <w:r>
              <w:t xml:space="preserve"> 202</w:t>
            </w:r>
            <w:r>
              <w:rPr>
                <w:rFonts w:hint="eastAsia" w:eastAsia="宋体"/>
                <w:lang w:val="en-US" w:eastAsia="zh-CN"/>
              </w:rPr>
              <w:t>5</w:t>
            </w:r>
            <w:r>
              <w:t>)</w:t>
            </w:r>
          </w:p>
        </w:tc>
        <w:tc>
          <w:tcPr>
            <w:tcW w:w="2101" w:type="dxa"/>
            <w:tcBorders>
              <w:top w:val="single" w:color="auto" w:sz="4" w:space="0"/>
              <w:left w:val="single" w:color="auto" w:sz="4" w:space="0"/>
              <w:bottom w:val="single" w:color="auto" w:sz="4" w:space="0"/>
              <w:right w:val="single" w:color="auto" w:sz="4" w:space="0"/>
            </w:tcBorders>
          </w:tcPr>
          <w:p w14:paraId="76342A83">
            <w:pPr>
              <w:pStyle w:val="24"/>
              <w:spacing w:after="0"/>
            </w:pPr>
          </w:p>
        </w:tc>
      </w:tr>
      <w:tr w14:paraId="73BCDFBF">
        <w:tblPrEx>
          <w:tblCellMar>
            <w:top w:w="0" w:type="dxa"/>
            <w:left w:w="108" w:type="dxa"/>
            <w:bottom w:w="0" w:type="dxa"/>
            <w:right w:w="108" w:type="dxa"/>
          </w:tblCellMar>
        </w:tblPrEx>
        <w:trPr>
          <w:cantSplit/>
          <w:trHeight w:val="408" w:hRule="atLeast"/>
          <w:jc w:val="center"/>
        </w:trPr>
        <w:tc>
          <w:tcPr>
            <w:tcW w:w="1445" w:type="dxa"/>
            <w:tcBorders>
              <w:top w:val="single" w:color="auto" w:sz="4" w:space="0"/>
              <w:left w:val="single" w:color="auto" w:sz="4" w:space="0"/>
              <w:bottom w:val="single" w:color="auto" w:sz="4" w:space="0"/>
              <w:right w:val="single" w:color="auto" w:sz="4" w:space="0"/>
            </w:tcBorders>
            <w:vAlign w:val="top"/>
          </w:tcPr>
          <w:p w14:paraId="75C315D6">
            <w:pPr>
              <w:pStyle w:val="26"/>
            </w:pPr>
            <w:r>
              <w:t>TS 32.2</w:t>
            </w:r>
            <w:r>
              <w:rPr>
                <w:rFonts w:hint="eastAsia"/>
                <w:lang w:val="en-US" w:eastAsia="zh-CN"/>
              </w:rPr>
              <w:t>98</w:t>
            </w:r>
          </w:p>
        </w:tc>
        <w:tc>
          <w:tcPr>
            <w:tcW w:w="4344" w:type="dxa"/>
            <w:tcBorders>
              <w:top w:val="single" w:color="auto" w:sz="4" w:space="0"/>
              <w:left w:val="single" w:color="auto" w:sz="4" w:space="0"/>
              <w:bottom w:val="single" w:color="auto" w:sz="4" w:space="0"/>
              <w:right w:val="single" w:color="auto" w:sz="4" w:space="0"/>
            </w:tcBorders>
            <w:vAlign w:val="top"/>
          </w:tcPr>
          <w:p w14:paraId="5829B976">
            <w:pPr>
              <w:pStyle w:val="26"/>
            </w:pPr>
            <w:r>
              <w:rPr>
                <w:rFonts w:hint="eastAsia"/>
                <w:lang w:val="en-US" w:eastAsia="zh-CN"/>
              </w:rPr>
              <w:t>E</w:t>
            </w:r>
            <w:r>
              <w:rPr>
                <w:rFonts w:hint="eastAsia"/>
                <w:lang w:eastAsia="zh-CN"/>
              </w:rPr>
              <w:t>nhancement</w:t>
            </w:r>
            <w:r>
              <w:rPr>
                <w:rFonts w:hint="eastAsia"/>
                <w:lang w:val="en-US" w:eastAsia="zh-CN"/>
              </w:rPr>
              <w:t>s</w:t>
            </w:r>
            <w:r>
              <w:t xml:space="preserve"> </w:t>
            </w:r>
            <w:r>
              <w:rPr>
                <w:rFonts w:hint="eastAsia"/>
                <w:lang w:eastAsia="zh-CN"/>
              </w:rPr>
              <w:t>t</w:t>
            </w:r>
            <w:r>
              <w:rPr>
                <w:lang w:eastAsia="zh-CN"/>
              </w:rPr>
              <w:t xml:space="preserve">o </w:t>
            </w:r>
            <w:r>
              <w:rPr>
                <w:rFonts w:hint="eastAsia"/>
                <w:lang w:val="en-US" w:eastAsia="zh-CN"/>
              </w:rPr>
              <w:t xml:space="preserve">IMS CDR parameters and </w:t>
            </w:r>
            <w:r>
              <w:rPr>
                <w:lang w:eastAsia="zh-CN"/>
              </w:rPr>
              <w:t>charging information in ASN.1</w:t>
            </w:r>
          </w:p>
        </w:tc>
        <w:tc>
          <w:tcPr>
            <w:tcW w:w="1417" w:type="dxa"/>
            <w:tcBorders>
              <w:top w:val="single" w:color="auto" w:sz="4" w:space="0"/>
              <w:left w:val="single" w:color="auto" w:sz="4" w:space="0"/>
              <w:bottom w:val="single" w:color="auto" w:sz="4" w:space="0"/>
              <w:right w:val="single" w:color="auto" w:sz="4" w:space="0"/>
            </w:tcBorders>
            <w:vAlign w:val="top"/>
          </w:tcPr>
          <w:p w14:paraId="28740BFF">
            <w:pPr>
              <w:pStyle w:val="26"/>
              <w:rPr>
                <w:rFonts w:eastAsia="宋体"/>
                <w:lang w:val="en-US" w:eastAsia="zh-CN"/>
              </w:rPr>
            </w:pPr>
            <w:r>
              <w:t>TSG#10</w:t>
            </w:r>
            <w:r>
              <w:rPr>
                <w:rFonts w:eastAsia="宋体"/>
                <w:lang w:val="en-US" w:eastAsia="zh-CN"/>
              </w:rPr>
              <w:t>9</w:t>
            </w:r>
          </w:p>
          <w:p w14:paraId="1FCBEA8C">
            <w:pPr>
              <w:pStyle w:val="26"/>
            </w:pPr>
            <w:r>
              <w:t>(</w:t>
            </w:r>
            <w:r>
              <w:rPr>
                <w:rFonts w:eastAsia="宋体"/>
                <w:lang w:val="en-US" w:eastAsia="zh-CN"/>
              </w:rPr>
              <w:t>Sep</w:t>
            </w:r>
            <w:r>
              <w:rPr>
                <w:lang w:val="en-US"/>
              </w:rPr>
              <w:t>.</w:t>
            </w:r>
            <w:r>
              <w:t xml:space="preserve"> 202</w:t>
            </w:r>
            <w:r>
              <w:rPr>
                <w:rFonts w:hint="eastAsia" w:eastAsia="宋体"/>
                <w:lang w:val="en-US" w:eastAsia="zh-CN"/>
              </w:rPr>
              <w:t>5</w:t>
            </w:r>
            <w:r>
              <w:t>)</w:t>
            </w:r>
          </w:p>
        </w:tc>
        <w:tc>
          <w:tcPr>
            <w:tcW w:w="2101" w:type="dxa"/>
            <w:tcBorders>
              <w:top w:val="single" w:color="auto" w:sz="4" w:space="0"/>
              <w:left w:val="single" w:color="auto" w:sz="4" w:space="0"/>
              <w:bottom w:val="single" w:color="auto" w:sz="4" w:space="0"/>
              <w:right w:val="single" w:color="auto" w:sz="4" w:space="0"/>
            </w:tcBorders>
          </w:tcPr>
          <w:p w14:paraId="0E30731D">
            <w:pPr>
              <w:pStyle w:val="26"/>
            </w:pPr>
          </w:p>
        </w:tc>
      </w:tr>
      <w:tr w14:paraId="3668417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566360B0">
            <w:pPr>
              <w:pStyle w:val="26"/>
            </w:pPr>
            <w:r>
              <w:t>TS 32.2</w:t>
            </w:r>
            <w:r>
              <w:rPr>
                <w:rFonts w:hint="eastAsia"/>
                <w:lang w:val="en-US" w:eastAsia="zh-CN"/>
              </w:rPr>
              <w:t>99</w:t>
            </w:r>
          </w:p>
        </w:tc>
        <w:tc>
          <w:tcPr>
            <w:tcW w:w="4344" w:type="dxa"/>
            <w:tcBorders>
              <w:top w:val="single" w:color="auto" w:sz="4" w:space="0"/>
              <w:left w:val="single" w:color="auto" w:sz="4" w:space="0"/>
              <w:bottom w:val="single" w:color="auto" w:sz="4" w:space="0"/>
              <w:right w:val="single" w:color="auto" w:sz="4" w:space="0"/>
            </w:tcBorders>
            <w:vAlign w:val="top"/>
          </w:tcPr>
          <w:p w14:paraId="6DE29000">
            <w:pPr>
              <w:pStyle w:val="26"/>
            </w:pPr>
            <w:r>
              <w:rPr>
                <w:rFonts w:hint="eastAsia" w:eastAsia="Yu Mincho"/>
                <w:lang w:val="en-US" w:eastAsia="zh-CN"/>
              </w:rPr>
              <w:t>Enhancements to o</w:t>
            </w:r>
            <w:r>
              <w:t>ffline</w:t>
            </w:r>
            <w:r>
              <w:rPr>
                <w:rFonts w:hint="default"/>
                <w:lang w:val="en-US"/>
              </w:rPr>
              <w:t xml:space="preserve"> and online</w:t>
            </w:r>
            <w:r>
              <w:t xml:space="preserve"> charging error cases</w:t>
            </w:r>
            <w:r>
              <w:rPr>
                <w:rFonts w:hint="eastAsia"/>
                <w:lang w:val="en-US" w:eastAsia="zh-CN"/>
              </w:rPr>
              <w:t>(</w:t>
            </w:r>
            <w:r>
              <w:t>Diameter procedures</w:t>
            </w:r>
            <w:r>
              <w:rPr>
                <w:rFonts w:hint="eastAsia" w:eastAsia="Yu Mincho"/>
                <w:lang w:val="en-US" w:eastAsia="zh-CN"/>
              </w:rPr>
              <w:t>)</w:t>
            </w:r>
          </w:p>
        </w:tc>
        <w:tc>
          <w:tcPr>
            <w:tcW w:w="1417" w:type="dxa"/>
            <w:tcBorders>
              <w:top w:val="single" w:color="auto" w:sz="4" w:space="0"/>
              <w:left w:val="single" w:color="auto" w:sz="4" w:space="0"/>
              <w:bottom w:val="single" w:color="auto" w:sz="4" w:space="0"/>
              <w:right w:val="single" w:color="auto" w:sz="4" w:space="0"/>
            </w:tcBorders>
            <w:vAlign w:val="top"/>
          </w:tcPr>
          <w:p w14:paraId="666F747D">
            <w:pPr>
              <w:pStyle w:val="26"/>
              <w:rPr>
                <w:rFonts w:eastAsia="宋体"/>
                <w:lang w:val="en-US" w:eastAsia="zh-CN"/>
              </w:rPr>
            </w:pPr>
            <w:r>
              <w:t>TSG#10</w:t>
            </w:r>
            <w:r>
              <w:rPr>
                <w:rFonts w:eastAsia="宋体"/>
                <w:lang w:val="en-US" w:eastAsia="zh-CN"/>
              </w:rPr>
              <w:t>9</w:t>
            </w:r>
          </w:p>
          <w:p w14:paraId="3846CA79">
            <w:pPr>
              <w:pStyle w:val="26"/>
            </w:pPr>
            <w:r>
              <w:t>(</w:t>
            </w:r>
            <w:r>
              <w:rPr>
                <w:rFonts w:eastAsia="宋体"/>
                <w:lang w:val="en-US" w:eastAsia="zh-CN"/>
              </w:rPr>
              <w:t>Sep</w:t>
            </w:r>
            <w:r>
              <w:rPr>
                <w:lang w:val="en-US"/>
              </w:rPr>
              <w:t>.</w:t>
            </w:r>
            <w:r>
              <w:t xml:space="preserve"> 202</w:t>
            </w:r>
            <w:r>
              <w:rPr>
                <w:rFonts w:hint="eastAsia" w:eastAsia="宋体"/>
                <w:lang w:val="en-US" w:eastAsia="zh-CN"/>
              </w:rPr>
              <w:t>5</w:t>
            </w:r>
            <w:r>
              <w:t>)</w:t>
            </w:r>
          </w:p>
        </w:tc>
        <w:tc>
          <w:tcPr>
            <w:tcW w:w="2101" w:type="dxa"/>
            <w:tcBorders>
              <w:top w:val="single" w:color="auto" w:sz="4" w:space="0"/>
              <w:left w:val="single" w:color="auto" w:sz="4" w:space="0"/>
              <w:bottom w:val="single" w:color="auto" w:sz="4" w:space="0"/>
              <w:right w:val="single" w:color="auto" w:sz="4" w:space="0"/>
            </w:tcBorders>
          </w:tcPr>
          <w:p w14:paraId="1BE28D0E">
            <w:pPr>
              <w:pStyle w:val="26"/>
            </w:pPr>
          </w:p>
        </w:tc>
      </w:tr>
    </w:tbl>
    <w:p w14:paraId="46B4B280"/>
    <w:p w14:paraId="55DEC2A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49F74FEA">
      <w:pPr>
        <w:rPr>
          <w:rFonts w:hint="default"/>
          <w:color w:val="000000"/>
          <w:lang w:val="en-US" w:eastAsia="zh-CN"/>
        </w:rPr>
      </w:pPr>
      <w:r>
        <w:rPr>
          <w:rFonts w:hint="eastAsia"/>
          <w:color w:val="000000"/>
          <w:lang w:val="en-US" w:eastAsia="zh-CN"/>
        </w:rPr>
        <w:t>To be assigned by 3GPP SA</w:t>
      </w:r>
      <w:r>
        <w:rPr>
          <w:rFonts w:hint="default"/>
          <w:color w:val="000000"/>
          <w:lang w:val="en-US" w:eastAsia="zh-CN"/>
        </w:rPr>
        <w:t>.</w:t>
      </w:r>
    </w:p>
    <w:p w14:paraId="0246F88D"/>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B94DB22">
      <w:pPr>
        <w:rPr>
          <w:rFonts w:hint="default"/>
          <w:lang w:val="en-US"/>
        </w:rPr>
      </w:pPr>
      <w:r>
        <w:rPr>
          <w:rFonts w:hint="default"/>
          <w:lang w:val="en-US"/>
        </w:rPr>
        <w:t>SA5</w:t>
      </w:r>
    </w:p>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798971FA"/>
    <w:p w14:paraId="28E68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27"/>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5F41A52D">
            <w:pPr>
              <w:pStyle w:val="26"/>
              <w:rPr>
                <w:rFonts w:ascii="Arial" w:hAnsi="Arial" w:eastAsia="Times New Roman" w:cs="Times New Roman"/>
                <w:color w:val="000000"/>
                <w:sz w:val="18"/>
                <w:lang w:val="en-GB" w:eastAsia="zh-CN" w:bidi="ar-SA"/>
              </w:rPr>
            </w:pPr>
            <w:r>
              <w:rPr>
                <w:rFonts w:hint="eastAsia"/>
                <w:lang w:eastAsia="zh-CN"/>
              </w:rPr>
              <w:t>China Telecom</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ABE29D5">
            <w:pPr>
              <w:pStyle w:val="26"/>
              <w:rPr>
                <w:rFonts w:ascii="Arial" w:hAnsi="Arial" w:eastAsia="Times New Roman" w:cs="Times New Roman"/>
                <w:color w:val="000000"/>
                <w:sz w:val="18"/>
                <w:lang w:val="en-GB" w:eastAsia="zh-CN" w:bidi="ar-SA"/>
              </w:rPr>
            </w:pPr>
            <w:r>
              <w:rPr>
                <w:rFonts w:hint="eastAsia"/>
                <w:lang w:eastAsia="zh-CN"/>
              </w:rPr>
              <w:t>CATT</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45962">
            <w:pPr>
              <w:pStyle w:val="26"/>
              <w:rPr>
                <w:rFonts w:hint="eastAsia" w:eastAsia="宋体"/>
                <w:lang w:val="en-US" w:eastAsia="zh-CN"/>
              </w:rPr>
            </w:pPr>
            <w:r>
              <w:rPr>
                <w:rFonts w:hint="eastAsia" w:eastAsia="宋体"/>
                <w:lang w:val="en-US" w:eastAsia="zh-CN"/>
              </w:rPr>
              <w:t>ZTE</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A1E7A61">
            <w:pPr>
              <w:pStyle w:val="26"/>
            </w:pPr>
            <w:r>
              <w:rPr>
                <w:rFonts w:hint="eastAsia"/>
              </w:rPr>
              <w:t>China Unicom</w:t>
            </w: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E863CFD">
            <w:pPr>
              <w:pStyle w:val="26"/>
            </w:pP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8DC25D6">
            <w:pPr>
              <w:pStyle w:val="26"/>
            </w:pPr>
          </w:p>
        </w:tc>
      </w:tr>
    </w:tbl>
    <w:p w14:paraId="1E242AC9">
      <w:bookmarkStart w:id="0" w:name="_GoBack"/>
      <w:bookmarkEnd w:id="0"/>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80A"/>
    <w:rsid w:val="004A661C"/>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20255DA"/>
    <w:rsid w:val="07720F8C"/>
    <w:rsid w:val="0FE50F5E"/>
    <w:rsid w:val="111C65E6"/>
    <w:rsid w:val="1A750855"/>
    <w:rsid w:val="24496566"/>
    <w:rsid w:val="269C0568"/>
    <w:rsid w:val="3A4A0D4C"/>
    <w:rsid w:val="3FF36121"/>
    <w:rsid w:val="40D72919"/>
    <w:rsid w:val="4BAF3429"/>
    <w:rsid w:val="62086421"/>
    <w:rsid w:val="6A587053"/>
    <w:rsid w:val="72F21DD2"/>
    <w:rsid w:val="7E5C7D31"/>
    <w:rsid w:val="7F1118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2"/>
    <w:qFormat/>
    <w:uiPriority w:val="0"/>
    <w:pPr>
      <w:tabs>
        <w:tab w:val="center" w:pos="4153"/>
        <w:tab w:val="right" w:pos="8306"/>
      </w:tabs>
    </w:pPr>
  </w:style>
  <w:style w:type="paragraph" w:styleId="12">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semiHidden/>
    <w:qFormat/>
    <w:uiPriority w:val="0"/>
    <w:pPr>
      <w:keepLines/>
    </w:pPr>
  </w:style>
  <w:style w:type="character" w:styleId="16">
    <w:name w:val="page number"/>
    <w:basedOn w:val="15"/>
    <w:qFormat/>
    <w:uiPriority w:val="0"/>
  </w:style>
  <w:style w:type="character" w:styleId="17">
    <w:name w:val="Emphasis"/>
    <w:qFormat/>
    <w:uiPriority w:val="0"/>
    <w:rPr>
      <w:i/>
      <w:iCs/>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2">
    <w:name w:val="Header Char"/>
    <w:link w:val="11"/>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700</Words>
  <Characters>3689</Characters>
  <Lines>53</Lines>
  <Paragraphs>14</Paragraphs>
  <TotalTime>0</TotalTime>
  <ScaleCrop>false</ScaleCrop>
  <LinksUpToDate>false</LinksUpToDate>
  <CharactersWithSpaces>4282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企业用户_480419038</cp:lastModifiedBy>
  <cp:lastPrinted>2001-04-23T09:30:00Z</cp:lastPrinted>
  <dcterms:modified xsi:type="dcterms:W3CDTF">2025-08-15T11:47:36Z</dcterms:modified>
  <dc:title>Source: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TemplateDocerSaveRecord">
    <vt:lpwstr>eyJoZGlkIjoiZGQ1OTE3MTdlZDBmNjI2Y2FiODhjYzQ4ZmU5MTAxMmUiLCJ1c2VySWQiOiIxNTY5OTc1MDQwIn0=</vt:lpwstr>
  </property>
  <property fmtid="{D5CDD505-2E9C-101B-9397-08002B2CF9AE}" pid="4" name="KSOProductBuildVer">
    <vt:lpwstr>2052-12.1.0.21915</vt:lpwstr>
  </property>
  <property fmtid="{D5CDD505-2E9C-101B-9397-08002B2CF9AE}" pid="5" name="ICV">
    <vt:lpwstr>B7BC6A5583C448AF8915909DA9B42A0A_13</vt:lpwstr>
  </property>
</Properties>
</file>